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64C9" w:rsidRDefault="006164C9" w:rsidP="006164C9">
      <w:bookmarkStart w:id="0" w:name="_GoBack"/>
      <w:bookmarkEnd w:id="0"/>
    </w:p>
    <w:p w:rsidR="006164C9" w:rsidRDefault="006164C9" w:rsidP="006164C9"/>
    <w:p w:rsidR="006164C9" w:rsidRDefault="006164C9" w:rsidP="006164C9"/>
    <w:p w:rsidR="006164C9" w:rsidRDefault="006164C9" w:rsidP="006164C9">
      <w:pPr>
        <w:pStyle w:val="Title"/>
      </w:pPr>
      <w:r>
        <w:t>Effective Speeches</w:t>
      </w:r>
    </w:p>
    <w:p w:rsidR="006164C9" w:rsidRDefault="006164C9" w:rsidP="006164C9"/>
    <w:p w:rsidR="006164C9" w:rsidRDefault="006164C9" w:rsidP="006164C9">
      <w:r>
        <w:t>Effective speeches are a product of three separate activities. Those activities include planning and preparing, delivering, and following up after the presentation.</w:t>
      </w:r>
    </w:p>
    <w:p w:rsidR="006164C9" w:rsidRDefault="006164C9" w:rsidP="006164C9">
      <w:pPr>
        <w:pStyle w:val="Heading1"/>
      </w:pPr>
      <w:r>
        <w:t>Planning and Preparing Speeches</w:t>
      </w:r>
    </w:p>
    <w:p w:rsidR="006164C9" w:rsidRDefault="006164C9" w:rsidP="006164C9">
      <w:r>
        <w:t>Speeches consist of the opening, the body of the presentation, and the closing. These three components should be planned as separate units. Table 1 below shows the approximate length of each part.</w:t>
      </w:r>
    </w:p>
    <w:tbl>
      <w:tblPr>
        <w:tblStyle w:val="GridTable4-Accent1"/>
        <w:tblW w:w="0" w:type="auto"/>
        <w:jc w:val="center"/>
        <w:tblLook w:val="04A0" w:firstRow="1" w:lastRow="0" w:firstColumn="1" w:lastColumn="0" w:noHBand="0" w:noVBand="1"/>
      </w:tblPr>
      <w:tblGrid>
        <w:gridCol w:w="2965"/>
        <w:gridCol w:w="2340"/>
      </w:tblGrid>
      <w:tr w:rsidR="006164C9" w:rsidRPr="006164C9" w:rsidTr="006164C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65" w:type="dxa"/>
          </w:tcPr>
          <w:p w:rsidR="006164C9" w:rsidRPr="006164C9" w:rsidRDefault="006164C9" w:rsidP="00A968C5">
            <w:r w:rsidRPr="006164C9">
              <w:t xml:space="preserve">Table 1 </w:t>
            </w:r>
            <w:r w:rsidRPr="006164C9">
              <w:rPr>
                <w:rFonts w:hint="cs"/>
              </w:rPr>
              <w:t>–</w:t>
            </w:r>
            <w:r w:rsidRPr="006164C9">
              <w:t xml:space="preserve"> Percentage of Parts</w:t>
            </w:r>
          </w:p>
        </w:tc>
        <w:tc>
          <w:tcPr>
            <w:tcW w:w="2340" w:type="dxa"/>
          </w:tcPr>
          <w:p w:rsidR="006164C9" w:rsidRPr="006164C9" w:rsidRDefault="006164C9" w:rsidP="00A968C5">
            <w:pPr>
              <w:cnfStyle w:val="100000000000" w:firstRow="1" w:lastRow="0" w:firstColumn="0" w:lastColumn="0" w:oddVBand="0" w:evenVBand="0" w:oddHBand="0" w:evenHBand="0" w:firstRowFirstColumn="0" w:firstRowLastColumn="0" w:lastRowFirstColumn="0" w:lastRowLastColumn="0"/>
            </w:pPr>
          </w:p>
        </w:tc>
      </w:tr>
      <w:tr w:rsidR="006164C9" w:rsidRPr="006164C9" w:rsidTr="006164C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65" w:type="dxa"/>
          </w:tcPr>
          <w:p w:rsidR="006164C9" w:rsidRPr="006164C9" w:rsidRDefault="006164C9" w:rsidP="00A968C5">
            <w:r w:rsidRPr="006164C9">
              <w:t>Introduction</w:t>
            </w:r>
          </w:p>
        </w:tc>
        <w:tc>
          <w:tcPr>
            <w:tcW w:w="2340" w:type="dxa"/>
          </w:tcPr>
          <w:p w:rsidR="006164C9" w:rsidRPr="006164C9" w:rsidRDefault="006164C9" w:rsidP="00A968C5">
            <w:pPr>
              <w:cnfStyle w:val="000000100000" w:firstRow="0" w:lastRow="0" w:firstColumn="0" w:lastColumn="0" w:oddVBand="0" w:evenVBand="0" w:oddHBand="1" w:evenHBand="0" w:firstRowFirstColumn="0" w:firstRowLastColumn="0" w:lastRowFirstColumn="0" w:lastRowLastColumn="0"/>
            </w:pPr>
            <w:r w:rsidRPr="006164C9">
              <w:t>10-15%</w:t>
            </w:r>
          </w:p>
        </w:tc>
      </w:tr>
      <w:tr w:rsidR="006164C9" w:rsidRPr="006164C9" w:rsidTr="006164C9">
        <w:trPr>
          <w:jc w:val="center"/>
        </w:trPr>
        <w:tc>
          <w:tcPr>
            <w:cnfStyle w:val="001000000000" w:firstRow="0" w:lastRow="0" w:firstColumn="1" w:lastColumn="0" w:oddVBand="0" w:evenVBand="0" w:oddHBand="0" w:evenHBand="0" w:firstRowFirstColumn="0" w:firstRowLastColumn="0" w:lastRowFirstColumn="0" w:lastRowLastColumn="0"/>
            <w:tcW w:w="2965" w:type="dxa"/>
          </w:tcPr>
          <w:p w:rsidR="006164C9" w:rsidRPr="006164C9" w:rsidRDefault="006164C9" w:rsidP="00A968C5">
            <w:r w:rsidRPr="006164C9">
              <w:t>Body</w:t>
            </w:r>
          </w:p>
        </w:tc>
        <w:tc>
          <w:tcPr>
            <w:tcW w:w="2340" w:type="dxa"/>
          </w:tcPr>
          <w:p w:rsidR="006164C9" w:rsidRPr="006164C9" w:rsidRDefault="006164C9" w:rsidP="00A968C5">
            <w:pPr>
              <w:cnfStyle w:val="000000000000" w:firstRow="0" w:lastRow="0" w:firstColumn="0" w:lastColumn="0" w:oddVBand="0" w:evenVBand="0" w:oddHBand="0" w:evenHBand="0" w:firstRowFirstColumn="0" w:firstRowLastColumn="0" w:lastRowFirstColumn="0" w:lastRowLastColumn="0"/>
            </w:pPr>
            <w:r w:rsidRPr="006164C9">
              <w:t>75-85%</w:t>
            </w:r>
          </w:p>
        </w:tc>
      </w:tr>
      <w:tr w:rsidR="006164C9" w:rsidRPr="006164C9" w:rsidTr="006164C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65" w:type="dxa"/>
          </w:tcPr>
          <w:p w:rsidR="006164C9" w:rsidRPr="006164C9" w:rsidRDefault="006164C9" w:rsidP="00A968C5">
            <w:r w:rsidRPr="006164C9">
              <w:t>Closing</w:t>
            </w:r>
          </w:p>
        </w:tc>
        <w:tc>
          <w:tcPr>
            <w:tcW w:w="2340" w:type="dxa"/>
          </w:tcPr>
          <w:p w:rsidR="006164C9" w:rsidRPr="006164C9" w:rsidRDefault="006164C9" w:rsidP="00A968C5">
            <w:pPr>
              <w:cnfStyle w:val="000000100000" w:firstRow="0" w:lastRow="0" w:firstColumn="0" w:lastColumn="0" w:oddVBand="0" w:evenVBand="0" w:oddHBand="1" w:evenHBand="0" w:firstRowFirstColumn="0" w:firstRowLastColumn="0" w:lastRowFirstColumn="0" w:lastRowLastColumn="0"/>
            </w:pPr>
            <w:r w:rsidRPr="006164C9">
              <w:t>5-10%</w:t>
            </w:r>
          </w:p>
        </w:tc>
      </w:tr>
    </w:tbl>
    <w:p w:rsidR="006164C9" w:rsidRDefault="006164C9" w:rsidP="006164C9"/>
    <w:p w:rsidR="006164C9" w:rsidRDefault="006164C9" w:rsidP="006164C9">
      <w:r>
        <w:t>The opening is designed to gain attention and to set the tone for the entire presentation. An attention getter may include a quotation from a famous person, a startling statement, or a rhetorical question. In the opening, state the purpose of the presentation so the audience will understand your focus. To add coherence to the presentation and to assist the audience in understanding what is to come, the speaker often includes a roadmap of the topics to be presented.</w:t>
      </w:r>
    </w:p>
    <w:p w:rsidR="006164C9" w:rsidRDefault="006164C9" w:rsidP="006164C9">
      <w:r>
        <w:t>The body of the presentation contains the bulk of the content that is to be delivered. To prepare the body, focus on the objective to be achieved; then develop supporting material including visuals to accomplish the objective.</w:t>
      </w:r>
    </w:p>
    <w:p w:rsidR="006164C9" w:rsidRDefault="006164C9" w:rsidP="006164C9">
      <w:r>
        <w:t>The closing is designed to ensure that the objective is attained. If the objective is to inform the audience, a summary of the key points may be used as a closing. On the other hand, if the objective is to persuade the audience for action, the closing would be a call for action. To end a presentation without a closing would be highly ineffective.</w:t>
      </w:r>
    </w:p>
    <w:p w:rsidR="006164C9" w:rsidRDefault="006164C9" w:rsidP="006164C9">
      <w:pPr>
        <w:pStyle w:val="Heading1"/>
      </w:pPr>
      <w:r>
        <w:t>Delivering Speeches</w:t>
      </w:r>
    </w:p>
    <w:p w:rsidR="006164C9" w:rsidRDefault="006164C9" w:rsidP="006164C9">
      <w:r>
        <w:t>A well-prepared presentation will be effective only if it is delivered effectively. A good presenter engages and involves the audience. Good eye contact is essential. The speaker must be energetic and must project the voice in a pleasant, confident manner.</w:t>
      </w:r>
    </w:p>
    <w:p w:rsidR="006164C9" w:rsidRDefault="006164C9" w:rsidP="006164C9">
      <w:r>
        <w:t>Effective gestures are equally as important as good eye contact. Use exaggerated gestures from the waist up. Always use gestures that have purpose</w:t>
      </w:r>
      <w:r>
        <w:rPr>
          <w:rFonts w:hint="cs"/>
        </w:rPr>
        <w:t>—</w:t>
      </w:r>
      <w:r>
        <w:t>not nervous gestures, such as playing with a necklace, clicking a pen,</w:t>
      </w:r>
      <w:r w:rsidR="001A09F1">
        <w:t xml:space="preserve"> or pushing hair back.</w:t>
      </w:r>
    </w:p>
    <w:p w:rsidR="006164C9" w:rsidRDefault="006164C9" w:rsidP="006164C9">
      <w:pPr>
        <w:pStyle w:val="Heading1"/>
      </w:pPr>
      <w:r>
        <w:lastRenderedPageBreak/>
        <w:t>Follow-up Activities</w:t>
      </w:r>
    </w:p>
    <w:p w:rsidR="00BA1D46" w:rsidRDefault="006164C9" w:rsidP="006164C9">
      <w:r>
        <w:t>Most speeches are followed up by discussion. The ability to answer questions confidently helps to maintain credibility. Written reports and other activities may be required after a presentation. The audience should be told what to expect and when to expect follow-up activities.</w:t>
      </w:r>
    </w:p>
    <w:sectPr w:rsidR="00BA1D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4C9"/>
    <w:rsid w:val="001A09F1"/>
    <w:rsid w:val="006164C9"/>
    <w:rsid w:val="00BA1D46"/>
    <w:rsid w:val="00F841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5FA428-DFED-423E-BF83-2086FE011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164C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164C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64C9"/>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6164C9"/>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rsid w:val="006164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6164C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6Colorful-Accent1">
    <w:name w:val="Grid Table 6 Colorful Accent 1"/>
    <w:basedOn w:val="TableNormal"/>
    <w:uiPriority w:val="51"/>
    <w:rsid w:val="006164C9"/>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1">
    <w:name w:val="Grid Table 4 Accent 1"/>
    <w:basedOn w:val="TableNormal"/>
    <w:uiPriority w:val="49"/>
    <w:rsid w:val="006164C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352</Words>
  <Characters>2010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Connie Forde</dc:creator>
  <cp:keywords/>
  <dc:description/>
  <cp:lastModifiedBy>Connie Forde</cp:lastModifiedBy>
  <cp:revision>2</cp:revision>
  <dcterms:created xsi:type="dcterms:W3CDTF">2015-10-16T11:03:00Z</dcterms:created>
  <dcterms:modified xsi:type="dcterms:W3CDTF">2015-10-16T11:03:00Z</dcterms:modified>
</cp:coreProperties>
</file>